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A6" w:rsidRDefault="00503CA6" w:rsidP="0002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5DEB" w:rsidRPr="00025DEB" w:rsidRDefault="00025DEB" w:rsidP="0002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EB">
        <w:rPr>
          <w:rFonts w:ascii="Times New Roman" w:hAnsi="Times New Roman" w:cs="Times New Roman"/>
          <w:b/>
          <w:sz w:val="24"/>
          <w:szCs w:val="24"/>
        </w:rPr>
        <w:t xml:space="preserve">PŘÍRUČKA ZÁKLADNÍCH PROCESŮ NABÝVÁNÍ MAJETKU </w:t>
      </w:r>
    </w:p>
    <w:p w:rsidR="00777596" w:rsidRPr="00025DEB" w:rsidRDefault="00025DEB" w:rsidP="0002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EB">
        <w:rPr>
          <w:rFonts w:ascii="Times New Roman" w:hAnsi="Times New Roman" w:cs="Times New Roman"/>
          <w:b/>
          <w:sz w:val="24"/>
          <w:szCs w:val="24"/>
        </w:rPr>
        <w:t>V RÁMCI PROJEKTŮ SPOLUFINANCOVANÝCH Z FONDŮ EU</w:t>
      </w:r>
    </w:p>
    <w:p w:rsidR="00025DEB" w:rsidRDefault="00025D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DEB" w:rsidRDefault="00025DEB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příručka doplňuje Směrnici č. </w:t>
      </w:r>
      <w:r w:rsidR="00160728" w:rsidRPr="00160728">
        <w:rPr>
          <w:rFonts w:ascii="Times New Roman" w:hAnsi="Times New Roman" w:cs="Times New Roman"/>
          <w:sz w:val="24"/>
          <w:szCs w:val="24"/>
        </w:rPr>
        <w:t>2</w:t>
      </w:r>
      <w:r w:rsidRPr="00160728">
        <w:rPr>
          <w:rFonts w:ascii="Times New Roman" w:hAnsi="Times New Roman" w:cs="Times New Roman"/>
          <w:sz w:val="24"/>
          <w:szCs w:val="24"/>
        </w:rPr>
        <w:t>/20</w:t>
      </w:r>
      <w:r w:rsidR="00160728" w:rsidRPr="00160728">
        <w:rPr>
          <w:rFonts w:ascii="Times New Roman" w:hAnsi="Times New Roman" w:cs="Times New Roman"/>
          <w:sz w:val="24"/>
          <w:szCs w:val="24"/>
        </w:rPr>
        <w:t>1</w:t>
      </w:r>
      <w:r w:rsidR="004F6A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 systému přípravy a řízení projektů kraje a organizací zřizovaných či zakládaných krajem spolufinancovaných z fondů EU.</w:t>
      </w:r>
      <w:r w:rsidR="00A73493">
        <w:rPr>
          <w:rFonts w:ascii="Times New Roman" w:hAnsi="Times New Roman" w:cs="Times New Roman"/>
          <w:sz w:val="24"/>
          <w:szCs w:val="24"/>
        </w:rPr>
        <w:t xml:space="preserve"> V projektech je zpravidla pořizován movitý a nemovitý majetek, který buď zůstává </w:t>
      </w:r>
      <w:r w:rsidR="00B637BF">
        <w:rPr>
          <w:rFonts w:ascii="Times New Roman" w:hAnsi="Times New Roman" w:cs="Times New Roman"/>
          <w:sz w:val="24"/>
          <w:szCs w:val="24"/>
        </w:rPr>
        <w:t xml:space="preserve">v </w:t>
      </w:r>
      <w:r w:rsidR="00A73493">
        <w:rPr>
          <w:rFonts w:ascii="Times New Roman" w:hAnsi="Times New Roman" w:cs="Times New Roman"/>
          <w:sz w:val="24"/>
          <w:szCs w:val="24"/>
        </w:rPr>
        <w:t>majetk</w:t>
      </w:r>
      <w:r w:rsidR="009F768A">
        <w:rPr>
          <w:rFonts w:ascii="Times New Roman" w:hAnsi="Times New Roman" w:cs="Times New Roman"/>
          <w:sz w:val="24"/>
          <w:szCs w:val="24"/>
        </w:rPr>
        <w:t>ové evidenci Krajského úřadu Libereckého kraje</w:t>
      </w:r>
      <w:r w:rsidR="00A73493">
        <w:rPr>
          <w:rFonts w:ascii="Times New Roman" w:hAnsi="Times New Roman" w:cs="Times New Roman"/>
          <w:sz w:val="24"/>
          <w:szCs w:val="24"/>
        </w:rPr>
        <w:t xml:space="preserve"> anebo je po ukončení projektu svěřen do správy a užívání příslušné příspěvkové organizaci</w:t>
      </w:r>
      <w:r w:rsidR="009F768A">
        <w:rPr>
          <w:rFonts w:ascii="Times New Roman" w:hAnsi="Times New Roman" w:cs="Times New Roman"/>
          <w:sz w:val="24"/>
          <w:szCs w:val="24"/>
        </w:rPr>
        <w:t xml:space="preserve"> Libereckého kraje</w:t>
      </w:r>
      <w:r w:rsidR="00A73493">
        <w:rPr>
          <w:rFonts w:ascii="Times New Roman" w:hAnsi="Times New Roman" w:cs="Times New Roman"/>
          <w:sz w:val="24"/>
          <w:szCs w:val="24"/>
        </w:rPr>
        <w:t>.</w:t>
      </w: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5F4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nakládání s movitým a nemovitým majetkem</w:t>
      </w:r>
      <w:r w:rsidR="00D02571">
        <w:rPr>
          <w:rFonts w:ascii="Times New Roman" w:hAnsi="Times New Roman" w:cs="Times New Roman"/>
          <w:sz w:val="24"/>
          <w:szCs w:val="24"/>
        </w:rPr>
        <w:t>, nabývání majetku a postupy orgánů a správců majetku kraje při přípravě a provádění majetkoprávních operací</w:t>
      </w:r>
      <w:r>
        <w:rPr>
          <w:rFonts w:ascii="Times New Roman" w:hAnsi="Times New Roman" w:cs="Times New Roman"/>
          <w:sz w:val="24"/>
          <w:szCs w:val="24"/>
        </w:rPr>
        <w:t xml:space="preserve"> je upravena samostatnými vnitřními předpisy kraje (krajského úřadu). Tzn., že postupy podle těchto vnitřních předpisů mají přednost před touto příručkou. </w:t>
      </w:r>
      <w:r w:rsidR="00CC27F4">
        <w:rPr>
          <w:rFonts w:ascii="Times New Roman" w:hAnsi="Times New Roman" w:cs="Times New Roman"/>
          <w:sz w:val="24"/>
          <w:szCs w:val="24"/>
        </w:rPr>
        <w:t>Tato p</w:t>
      </w:r>
      <w:r>
        <w:rPr>
          <w:rFonts w:ascii="Times New Roman" w:hAnsi="Times New Roman" w:cs="Times New Roman"/>
          <w:sz w:val="24"/>
          <w:szCs w:val="24"/>
        </w:rPr>
        <w:t>říručka popisuje základní procesy mezi odbory</w:t>
      </w:r>
      <w:r w:rsidR="00145CE6">
        <w:rPr>
          <w:rFonts w:ascii="Times New Roman" w:hAnsi="Times New Roman" w:cs="Times New Roman"/>
          <w:sz w:val="24"/>
          <w:szCs w:val="24"/>
        </w:rPr>
        <w:t xml:space="preserve"> kraje</w:t>
      </w:r>
      <w:r>
        <w:rPr>
          <w:rFonts w:ascii="Times New Roman" w:hAnsi="Times New Roman" w:cs="Times New Roman"/>
          <w:sz w:val="24"/>
          <w:szCs w:val="24"/>
        </w:rPr>
        <w:t xml:space="preserve">, které se účastní </w:t>
      </w:r>
      <w:r w:rsidR="00145CE6">
        <w:rPr>
          <w:rFonts w:ascii="Times New Roman" w:hAnsi="Times New Roman" w:cs="Times New Roman"/>
          <w:sz w:val="24"/>
          <w:szCs w:val="24"/>
        </w:rPr>
        <w:t xml:space="preserve">procesů přípravy, realizace a udržitelnosti projektů, </w:t>
      </w:r>
      <w:r>
        <w:rPr>
          <w:rFonts w:ascii="Times New Roman" w:hAnsi="Times New Roman" w:cs="Times New Roman"/>
          <w:sz w:val="24"/>
          <w:szCs w:val="24"/>
        </w:rPr>
        <w:t>stanovuje odpovědnosti a základní časový rámec jednotlivých činností.</w:t>
      </w:r>
      <w:r w:rsidR="00145CE6">
        <w:rPr>
          <w:rFonts w:ascii="Times New Roman" w:hAnsi="Times New Roman" w:cs="Times New Roman"/>
          <w:sz w:val="24"/>
          <w:szCs w:val="24"/>
        </w:rPr>
        <w:t xml:space="preserve"> Příručka se tedy zabývá provázaností jednotlivých postupů stanovených vnitřními předpisy kraje (krajského úřadu).</w:t>
      </w:r>
    </w:p>
    <w:p w:rsidR="00F925F4" w:rsidRDefault="00F925F4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493" w:rsidRDefault="00A73493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5F4" w:rsidRDefault="00F925F4" w:rsidP="00A734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925F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3493" w:rsidRPr="005B13DA" w:rsidRDefault="00F80D48" w:rsidP="005B13D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3DA">
        <w:rPr>
          <w:rFonts w:ascii="Times New Roman" w:hAnsi="Times New Roman" w:cs="Times New Roman"/>
          <w:sz w:val="24"/>
          <w:szCs w:val="24"/>
        </w:rPr>
        <w:lastRenderedPageBreak/>
        <w:t xml:space="preserve">ZPRACOVÁNÍ A </w:t>
      </w:r>
      <w:r w:rsidR="00F925F4" w:rsidRPr="005B13DA">
        <w:rPr>
          <w:rFonts w:ascii="Times New Roman" w:hAnsi="Times New Roman" w:cs="Times New Roman"/>
          <w:sz w:val="24"/>
          <w:szCs w:val="24"/>
        </w:rPr>
        <w:t>SCHVÁLENÍ PROJEKTOVÉHO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F80D48" w:rsidTr="001E5FBC">
        <w:trPr>
          <w:trHeight w:val="1656"/>
        </w:trPr>
        <w:tc>
          <w:tcPr>
            <w:tcW w:w="7638" w:type="dxa"/>
          </w:tcPr>
          <w:p w:rsidR="00F80D48" w:rsidRDefault="00F80D48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</w:t>
            </w:r>
            <w:r w:rsidR="006A2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této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fázi projektového cyklu?</w:t>
            </w:r>
          </w:p>
        </w:tc>
        <w:tc>
          <w:tcPr>
            <w:tcW w:w="7638" w:type="dxa"/>
          </w:tcPr>
          <w:p w:rsidR="00F80D48" w:rsidRDefault="00F80D48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</w:t>
            </w:r>
            <w:r w:rsidR="00136AAE">
              <w:rPr>
                <w:rFonts w:ascii="Times New Roman" w:hAnsi="Times New Roman" w:cs="Times New Roman"/>
                <w:sz w:val="24"/>
                <w:szCs w:val="24"/>
              </w:rPr>
              <w:t xml:space="preserve"> zařazený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odboru odpovědného za přípravu a řízení projektu</w:t>
            </w:r>
          </w:p>
          <w:p w:rsidR="002E7E68" w:rsidRDefault="00F80D48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1E5FBC" w:rsidRDefault="001E5FBC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příspěvkové organizace (neplatí, pokud se nejedná o projekt realizovaný v p. o. kraje)</w:t>
            </w:r>
          </w:p>
          <w:p w:rsidR="002E7E68" w:rsidRPr="00F80D48" w:rsidRDefault="00F80D48" w:rsidP="00C7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zástupce OISNM (vždy v případě, že projekt obsahuje </w:t>
            </w:r>
            <w:r w:rsidR="00C741E6">
              <w:rPr>
                <w:rFonts w:ascii="Times New Roman" w:hAnsi="Times New Roman" w:cs="Times New Roman"/>
                <w:sz w:val="24"/>
                <w:szCs w:val="24"/>
              </w:rPr>
              <w:t>nemovitý majetek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0D48" w:rsidTr="00F80D48">
        <w:tc>
          <w:tcPr>
            <w:tcW w:w="7638" w:type="dxa"/>
          </w:tcPr>
          <w:p w:rsidR="00F80D48" w:rsidRDefault="00F80D48" w:rsidP="00A734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F80D48" w:rsidRDefault="00F80D48" w:rsidP="00A73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zpravidla hrubá představa, co bude předmětem projektu, není k dispozici přesný soupis majetku resp. stavební položky</w:t>
            </w:r>
          </w:p>
          <w:p w:rsidR="007D77A2" w:rsidRDefault="007D77A2" w:rsidP="007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této fázi se z pohledu majetku stanovuje hlavně, zda je investiční či neinvestiční povahy a rámcově se definují aktivity (stavba, pořízení vybavení apod.) </w:t>
            </w:r>
          </w:p>
          <w:p w:rsidR="002E7E68" w:rsidRPr="00F80D48" w:rsidRDefault="002E7E68" w:rsidP="007D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 informuje ekonoma svého odboru o schváleném projektovém záměru</w:t>
            </w:r>
          </w:p>
        </w:tc>
      </w:tr>
    </w:tbl>
    <w:p w:rsidR="00136AAE" w:rsidRDefault="00CC27F4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Pozn.: zástupcem věcného odboru se pro účely této příručky myslí člen projektového týmu (v případě, že projekt nerealizuje věcný odbor)</w:t>
      </w:r>
    </w:p>
    <w:p w:rsidR="00CC27F4" w:rsidRDefault="00CC27F4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AAE" w:rsidRPr="005B13DA" w:rsidRDefault="00136AAE" w:rsidP="005B13D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3DA">
        <w:rPr>
          <w:rFonts w:ascii="Times New Roman" w:hAnsi="Times New Roman" w:cs="Times New Roman"/>
          <w:sz w:val="24"/>
          <w:szCs w:val="24"/>
        </w:rPr>
        <w:t>ZPRACOVÁNÍ PROJEKTOVÉ ŽÁDOSTI DO PŘÍSLUŠNÉHO DOTAČNÍHO TITULU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136AAE" w:rsidTr="00F37E46">
        <w:tc>
          <w:tcPr>
            <w:tcW w:w="7638" w:type="dxa"/>
          </w:tcPr>
          <w:p w:rsidR="00136AAE" w:rsidRDefault="00136AAE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</w:t>
            </w:r>
            <w:r w:rsidR="006A2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této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fázi projektového cyklu?</w:t>
            </w:r>
          </w:p>
        </w:tc>
        <w:tc>
          <w:tcPr>
            <w:tcW w:w="7638" w:type="dxa"/>
          </w:tcPr>
          <w:p w:rsidR="00136AAE" w:rsidRDefault="00136AA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 zařazený do odboru odpovědného za přípravu a řízení projektu</w:t>
            </w:r>
          </w:p>
          <w:p w:rsidR="00136AAE" w:rsidRDefault="00136AA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136AAE" w:rsidRDefault="00136AA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dané příspěvkové organizace (neplatí, pokud se nejedná o projekt realizovaný v p. o. kraje)</w:t>
            </w:r>
          </w:p>
          <w:p w:rsidR="00136AAE" w:rsidRPr="00F80D48" w:rsidRDefault="00136AA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OISNM (vždy v případě, že projekt obsahuje stavbu)</w:t>
            </w:r>
          </w:p>
        </w:tc>
      </w:tr>
      <w:tr w:rsidR="00345484" w:rsidTr="00F37E46">
        <w:tc>
          <w:tcPr>
            <w:tcW w:w="7638" w:type="dxa"/>
            <w:vMerge w:val="restart"/>
          </w:tcPr>
          <w:p w:rsidR="00345484" w:rsidRDefault="00345484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345484" w:rsidRPr="00F80D48" w:rsidRDefault="00345484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jsou zpracovávány investiční záměry, projektové dokumentace, studie, rozpočty apod.</w:t>
            </w:r>
          </w:p>
        </w:tc>
      </w:tr>
      <w:tr w:rsidR="00345484" w:rsidTr="00F37E46">
        <w:tc>
          <w:tcPr>
            <w:tcW w:w="7638" w:type="dxa"/>
            <w:vMerge/>
          </w:tcPr>
          <w:p w:rsidR="00345484" w:rsidRDefault="00345484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345484" w:rsidRDefault="00345484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vzniká přesný plán, co a v jakém objemu a předpokládané hodnotě bude pořízeno v rámci projektu</w:t>
            </w:r>
          </w:p>
        </w:tc>
      </w:tr>
      <w:tr w:rsidR="00345484" w:rsidTr="00F37E46">
        <w:tc>
          <w:tcPr>
            <w:tcW w:w="7638" w:type="dxa"/>
            <w:vMerge/>
          </w:tcPr>
          <w:p w:rsidR="00345484" w:rsidRDefault="00345484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1E5FBC" w:rsidRDefault="001E5FBC" w:rsidP="00CC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 investičního projektu </w:t>
            </w:r>
            <w:r w:rsidR="00345484">
              <w:rPr>
                <w:rFonts w:ascii="Times New Roman" w:hAnsi="Times New Roman" w:cs="Times New Roman"/>
                <w:sz w:val="24"/>
                <w:szCs w:val="24"/>
              </w:rPr>
              <w:t>zpracované dokumentace a studie vstupují do nedokončeného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551" w:rsidRPr="00F80D48" w:rsidTr="00675AC0">
        <w:tc>
          <w:tcPr>
            <w:tcW w:w="7638" w:type="dxa"/>
            <w:vMerge w:val="restart"/>
          </w:tcPr>
          <w:p w:rsidR="00E21551" w:rsidRDefault="00E21551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je v této fázi důležité?</w:t>
            </w:r>
          </w:p>
          <w:p w:rsidR="00E21551" w:rsidRDefault="00E21551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E21551" w:rsidRDefault="00E21551" w:rsidP="003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případě, že předmětem projektu je pořízení </w:t>
            </w:r>
            <w:r w:rsidRPr="00924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movitého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majetku, zástupce věcného odboru resp. zástupce příslušné p. o. zpracuje na základě úkolu stanoveného projektovým manažerem v rámci projektového týmu </w:t>
            </w:r>
            <w:r w:rsidR="001E5FBC">
              <w:rPr>
                <w:rFonts w:ascii="Times New Roman" w:hAnsi="Times New Roman" w:cs="Times New Roman"/>
                <w:sz w:val="24"/>
                <w:szCs w:val="24"/>
              </w:rPr>
              <w:t xml:space="preserve">rámcový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návrh zařazení jednotlivých položek do majetku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tento účel použije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tabulku </w:t>
            </w:r>
            <w:r w:rsidR="00CC27F4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přehled majetku 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 </w:t>
            </w:r>
            <w:r w:rsidR="00CC27F4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projektu</w:t>
            </w:r>
            <w:r w:rsidR="00B51E32" w:rsidRPr="00AF2EB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C27F4" w:rsidRPr="00AF2E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F2EBB">
              <w:rPr>
                <w:rFonts w:ascii="Times New Roman" w:hAnsi="Times New Roman" w:cs="Times New Roman"/>
                <w:sz w:val="24"/>
                <w:szCs w:val="24"/>
              </w:rPr>
              <w:t xml:space="preserve">viz. </w:t>
            </w:r>
            <w:proofErr w:type="gramStart"/>
            <w:r w:rsidRPr="00AF2EBB">
              <w:rPr>
                <w:rFonts w:ascii="Times New Roman" w:hAnsi="Times New Roman" w:cs="Times New Roman"/>
                <w:sz w:val="24"/>
                <w:szCs w:val="24"/>
              </w:rPr>
              <w:t>příloha</w:t>
            </w:r>
            <w:proofErr w:type="gramEnd"/>
            <w:r w:rsidRPr="00AF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EBB" w:rsidRPr="00AF2EBB">
              <w:rPr>
                <w:rFonts w:ascii="Times New Roman" w:hAnsi="Times New Roman" w:cs="Times New Roman"/>
                <w:sz w:val="24"/>
                <w:szCs w:val="24"/>
              </w:rPr>
              <w:t>1 této příručky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5FBC" w:rsidRDefault="001E5FBC" w:rsidP="003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věcný odbor resp. zástupce příslušné p.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zodpovídá za správné zařazení jednotlivých položek </w:t>
            </w:r>
          </w:p>
          <w:p w:rsidR="00E21551" w:rsidRDefault="00B51E32" w:rsidP="0032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21551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tabulka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přehled majetku 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 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21551">
              <w:rPr>
                <w:rFonts w:ascii="Times New Roman" w:hAnsi="Times New Roman" w:cs="Times New Roman"/>
                <w:sz w:val="24"/>
                <w:szCs w:val="24"/>
              </w:rPr>
              <w:t xml:space="preserve"> bude po další průběh projektu sloužit jako základní nosič informací o majetku pořizovaném v projektu, budou v ní činěny případné úpravy a změny</w:t>
            </w:r>
            <w:r w:rsidR="00E21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E2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551" w:rsidRPr="00E21551" w:rsidRDefault="00CC27F4" w:rsidP="00CC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tohoto okamžiku zajišťuje </w:t>
            </w:r>
            <w:r w:rsidR="001E5FBC">
              <w:rPr>
                <w:rFonts w:ascii="Times New Roman" w:hAnsi="Times New Roman" w:cs="Times New Roman"/>
                <w:sz w:val="24"/>
                <w:szCs w:val="24"/>
              </w:rPr>
              <w:t xml:space="preserve">správu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E5FBC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tabulky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přehled majetku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projektu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12B98">
              <w:rPr>
                <w:rFonts w:ascii="Times New Roman" w:hAnsi="Times New Roman" w:cs="Times New Roman"/>
                <w:sz w:val="24"/>
                <w:szCs w:val="24"/>
              </w:rPr>
              <w:t xml:space="preserve"> projektový manažer příp. finanční manažer zařazený do odboru odpovědného za přípravu a řízení projektů</w:t>
            </w:r>
            <w:r w:rsidR="001E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551" w:rsidRPr="00323E08" w:rsidTr="00323E08">
        <w:tc>
          <w:tcPr>
            <w:tcW w:w="7638" w:type="dxa"/>
            <w:vMerge/>
          </w:tcPr>
          <w:p w:rsidR="00E21551" w:rsidRDefault="00E21551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E21551" w:rsidRPr="00323E08" w:rsidRDefault="00E21551" w:rsidP="00924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případě, že předmětem projektu je pořízení </w:t>
            </w:r>
            <w:r w:rsidRPr="00924334">
              <w:rPr>
                <w:rFonts w:ascii="Times New Roman" w:hAnsi="Times New Roman" w:cs="Times New Roman"/>
                <w:b/>
                <w:sz w:val="24"/>
                <w:szCs w:val="24"/>
              </w:rPr>
              <w:t>nemovitého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majetku, slouží v této fázi jako zdroj informace o výši předpokládaných nákladů položkový rozpočet, který je zpracován v rámci přípravy stavební projektové dokumentace</w:t>
            </w:r>
          </w:p>
        </w:tc>
      </w:tr>
      <w:tr w:rsidR="00E21551" w:rsidRPr="00F80D48" w:rsidTr="00E21551">
        <w:tc>
          <w:tcPr>
            <w:tcW w:w="7638" w:type="dxa"/>
          </w:tcPr>
          <w:p w:rsidR="00E21551" w:rsidRDefault="00E21551" w:rsidP="00E215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Časové hledisko</w:t>
            </w:r>
          </w:p>
        </w:tc>
        <w:tc>
          <w:tcPr>
            <w:tcW w:w="7638" w:type="dxa"/>
          </w:tcPr>
          <w:p w:rsidR="00A27295" w:rsidRPr="00F80D48" w:rsidRDefault="00CC27F4" w:rsidP="00B5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maximální termín vyhotovení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tabulky – přehled majetku 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 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projektu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stanoví projektový manažer v rámci projektového týmu,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důležité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je, aby tabulka souhlasila s údaji,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 které budou uvedeny v projektové žádosti</w:t>
            </w:r>
          </w:p>
        </w:tc>
      </w:tr>
    </w:tbl>
    <w:p w:rsidR="00136AAE" w:rsidRDefault="00136AAE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D83" w:rsidRDefault="001F5D83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5D83" w:rsidRPr="005B13DA" w:rsidRDefault="00AE4BD3" w:rsidP="005B13D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3DA">
        <w:rPr>
          <w:rFonts w:ascii="Times New Roman" w:hAnsi="Times New Roman" w:cs="Times New Roman"/>
          <w:sz w:val="24"/>
          <w:szCs w:val="24"/>
        </w:rPr>
        <w:t>SCHVÁLENÍ/NESCHVÁLENÍ PROJEKTOVÉ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1F5D83" w:rsidTr="00F37E46">
        <w:tc>
          <w:tcPr>
            <w:tcW w:w="7638" w:type="dxa"/>
          </w:tcPr>
          <w:p w:rsidR="001F5D83" w:rsidRDefault="001F5D83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</w:t>
            </w:r>
            <w:r w:rsidR="006A2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této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fázi projektového cyklu?</w:t>
            </w:r>
          </w:p>
        </w:tc>
        <w:tc>
          <w:tcPr>
            <w:tcW w:w="7638" w:type="dxa"/>
          </w:tcPr>
          <w:p w:rsidR="001F5D83" w:rsidRDefault="001F5D83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 zařazený do odboru odpovědného za přípravu a řízení projektu</w:t>
            </w:r>
          </w:p>
          <w:p w:rsidR="00AE4BD3" w:rsidRDefault="00AE4BD3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manažer zařazený do odboru odpovědného za přípravu a řízení projektu</w:t>
            </w:r>
          </w:p>
          <w:p w:rsidR="001F5D83" w:rsidRDefault="001F5D83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AE4BD3" w:rsidRPr="00F80D48" w:rsidRDefault="001F5D83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OISNM (vždy v případě, že projekt obsahuje stavbu)</w:t>
            </w:r>
          </w:p>
        </w:tc>
      </w:tr>
      <w:tr w:rsidR="00AE4BD3" w:rsidTr="00F37E46">
        <w:tc>
          <w:tcPr>
            <w:tcW w:w="7638" w:type="dxa"/>
            <w:vMerge w:val="restart"/>
          </w:tcPr>
          <w:p w:rsidR="00AE4BD3" w:rsidRDefault="00AE4BD3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AE4BD3" w:rsidRPr="00F80D48" w:rsidRDefault="00AE4BD3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případě, že je </w:t>
            </w:r>
            <w:r w:rsidRPr="00AE4BD3">
              <w:rPr>
                <w:rFonts w:ascii="Times New Roman" w:hAnsi="Times New Roman" w:cs="Times New Roman"/>
                <w:b/>
                <w:sz w:val="24"/>
                <w:szCs w:val="24"/>
              </w:rPr>
              <w:t>projektová žádost schválena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 hlediska majetku se neděje nic</w:t>
            </w:r>
            <w:r w:rsidR="00EB7E4C">
              <w:rPr>
                <w:rFonts w:ascii="Times New Roman" w:hAnsi="Times New Roman" w:cs="Times New Roman"/>
                <w:sz w:val="24"/>
                <w:szCs w:val="24"/>
              </w:rPr>
              <w:t>, dále se pokračuje v přípravě projektu</w:t>
            </w:r>
            <w:r w:rsidR="001E2585">
              <w:rPr>
                <w:rFonts w:ascii="Times New Roman" w:hAnsi="Times New Roman" w:cs="Times New Roman"/>
                <w:sz w:val="24"/>
                <w:szCs w:val="24"/>
              </w:rPr>
              <w:t xml:space="preserve"> – zástupce věcného odboru informuje ekonoma svého odboru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 o schválení projektové žádosti</w:t>
            </w:r>
          </w:p>
        </w:tc>
      </w:tr>
      <w:tr w:rsidR="00AE4BD3" w:rsidTr="00F37E46">
        <w:tc>
          <w:tcPr>
            <w:tcW w:w="7638" w:type="dxa"/>
            <w:vMerge/>
          </w:tcPr>
          <w:p w:rsidR="00AE4BD3" w:rsidRDefault="00AE4BD3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AE4BD3" w:rsidRPr="00CC1FE4" w:rsidRDefault="00AE4BD3" w:rsidP="00EB7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případě, že </w:t>
            </w:r>
            <w:r w:rsidRPr="00AE4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projektová žádost </w:t>
            </w:r>
            <w:r w:rsidR="00EB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není </w:t>
            </w:r>
            <w:r w:rsidRPr="00AE4BD3">
              <w:rPr>
                <w:rFonts w:ascii="Times New Roman" w:hAnsi="Times New Roman" w:cs="Times New Roman"/>
                <w:b/>
                <w:sz w:val="24"/>
                <w:szCs w:val="24"/>
              </w:rPr>
              <w:t>schválena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nelze předpokládat, že bude předkládána znovu do jiné výzvy, zajistí finanční </w:t>
            </w:r>
            <w:r w:rsidR="001E2585">
              <w:rPr>
                <w:rFonts w:ascii="Times New Roman" w:hAnsi="Times New Roman" w:cs="Times New Roman"/>
                <w:sz w:val="24"/>
                <w:szCs w:val="24"/>
              </w:rPr>
              <w:t xml:space="preserve">a projektový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manažer zařazený do odboru odpovědného za přípravu a řízení projektu ve spolupráci se zástupcem věcného odboru vyřazení dosud nabytého majetku z evidence nedokončeného majetku formou zmařené investice</w:t>
            </w:r>
            <w:r w:rsidR="00CC1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CC1FE4">
              <w:rPr>
                <w:rFonts w:ascii="Times New Roman" w:hAnsi="Times New Roman" w:cs="Times New Roman"/>
                <w:sz w:val="24"/>
                <w:szCs w:val="24"/>
              </w:rPr>
              <w:t xml:space="preserve"> zástupce věcného odboru zajistí převod případných výdajů příspěvkové organizace </w:t>
            </w:r>
            <w:r w:rsidR="00CC1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uskutečněné v souvislosti s projektem na kraj a tyto výdaje zahrne do zmařené investice</w:t>
            </w:r>
          </w:p>
        </w:tc>
      </w:tr>
      <w:tr w:rsidR="00AE4BD3" w:rsidRPr="00F80D48" w:rsidTr="00AE4BD3">
        <w:tc>
          <w:tcPr>
            <w:tcW w:w="7638" w:type="dxa"/>
          </w:tcPr>
          <w:p w:rsidR="00AE4BD3" w:rsidRDefault="00AE4BD3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 je v této fázi důležité?</w:t>
            </w:r>
          </w:p>
        </w:tc>
        <w:tc>
          <w:tcPr>
            <w:tcW w:w="7638" w:type="dxa"/>
          </w:tcPr>
          <w:p w:rsidR="00AE4BD3" w:rsidRPr="00F80D48" w:rsidRDefault="00AE4BD3" w:rsidP="001E2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 </w:t>
            </w:r>
            <w:r w:rsidRPr="006A248E">
              <w:rPr>
                <w:rFonts w:ascii="Times New Roman" w:hAnsi="Times New Roman" w:cs="Times New Roman"/>
                <w:b/>
                <w:sz w:val="24"/>
                <w:szCs w:val="24"/>
              </w:rPr>
              <w:t>neschválení projektové žádosti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podmínek uvedených výše zajistí odbor odpovědný za přípravu a řízení projektu formou materiálu do rady kraje ukončení přípravy projektu, majetkové vypořádání zmařené investice vč. zdůvodnění </w:t>
            </w:r>
          </w:p>
        </w:tc>
      </w:tr>
      <w:tr w:rsidR="006A248E" w:rsidRPr="00F80D48" w:rsidTr="006A248E">
        <w:tc>
          <w:tcPr>
            <w:tcW w:w="7638" w:type="dxa"/>
          </w:tcPr>
          <w:p w:rsidR="006A248E" w:rsidRDefault="006A248E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Časové hledisko</w:t>
            </w:r>
          </w:p>
        </w:tc>
        <w:tc>
          <w:tcPr>
            <w:tcW w:w="7638" w:type="dxa"/>
          </w:tcPr>
          <w:p w:rsidR="006A248E" w:rsidRPr="00F80D48" w:rsidRDefault="006A248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vypořádání nedokončeného majetku je potřeba provést vždy nejpozději do konce daného účetního období, vhodné je však učinit tak ihned při ukončování prací na přípravě projektu</w:t>
            </w:r>
          </w:p>
        </w:tc>
      </w:tr>
    </w:tbl>
    <w:p w:rsidR="001F5D83" w:rsidRDefault="006A248E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pozn.: postup vypořádání nedokončeného majetku uvedený při neschválení projektové žádosti lze analogicky aplikovat v kterékoliv fázi ukončení prací na přípravě či realizaci projektu</w:t>
      </w:r>
    </w:p>
    <w:p w:rsidR="006A248E" w:rsidRDefault="006A248E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48E" w:rsidRDefault="006A248E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48E" w:rsidRPr="005B13DA" w:rsidRDefault="006A248E" w:rsidP="005B13D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3DA">
        <w:rPr>
          <w:rFonts w:ascii="Times New Roman" w:hAnsi="Times New Roman" w:cs="Times New Roman"/>
          <w:sz w:val="24"/>
          <w:szCs w:val="24"/>
        </w:rPr>
        <w:t>REALIZACE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6A248E" w:rsidTr="00F37E46">
        <w:tc>
          <w:tcPr>
            <w:tcW w:w="7638" w:type="dxa"/>
          </w:tcPr>
          <w:p w:rsidR="006A248E" w:rsidRDefault="006A248E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 této fázi projektového cyklu?</w:t>
            </w:r>
          </w:p>
        </w:tc>
        <w:tc>
          <w:tcPr>
            <w:tcW w:w="7638" w:type="dxa"/>
          </w:tcPr>
          <w:p w:rsidR="006A248E" w:rsidRDefault="006A248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 zařazený do odboru odpovědného za přípravu a řízení projektu</w:t>
            </w:r>
          </w:p>
          <w:p w:rsidR="006A248E" w:rsidRDefault="006A248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manažer zařazený do odboru odpovědného za přípravu a řízení projektu</w:t>
            </w:r>
          </w:p>
          <w:p w:rsidR="005B13DA" w:rsidRDefault="005B13DA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odboru kanceláře ředitele (evidence majetku)</w:t>
            </w:r>
          </w:p>
          <w:p w:rsidR="006A248E" w:rsidRDefault="006A248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6A248E" w:rsidRDefault="006A248E" w:rsidP="006A2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dané příspěvkové organizace (neplatí, pokud se nejedná o projekt realizovaný v p. o. kraje)</w:t>
            </w:r>
          </w:p>
          <w:p w:rsidR="006A248E" w:rsidRPr="00F80D48" w:rsidRDefault="006A248E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OISNM (vždy v případě, že projekt obsahuje stavbu)</w:t>
            </w:r>
          </w:p>
        </w:tc>
      </w:tr>
      <w:tr w:rsidR="00792FEA" w:rsidTr="00F37E46">
        <w:tc>
          <w:tcPr>
            <w:tcW w:w="7638" w:type="dxa"/>
            <w:vMerge w:val="restart"/>
          </w:tcPr>
          <w:p w:rsidR="00792FEA" w:rsidRDefault="00792FEA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792FEA" w:rsidRDefault="00792FEA" w:rsidP="005B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nejprve dochází k výběru dodavatelů majetku,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vysoutěžení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konečných cen pořízení majetku </w:t>
            </w:r>
            <w:r w:rsidR="00494E79">
              <w:rPr>
                <w:rFonts w:ascii="Times New Roman" w:hAnsi="Times New Roman" w:cs="Times New Roman"/>
                <w:sz w:val="24"/>
                <w:szCs w:val="24"/>
              </w:rPr>
              <w:t xml:space="preserve">věcný odbor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4E79">
              <w:rPr>
                <w:rFonts w:ascii="Times New Roman" w:hAnsi="Times New Roman" w:cs="Times New Roman"/>
                <w:sz w:val="24"/>
                <w:szCs w:val="24"/>
              </w:rPr>
              <w:t>příp. ve spolupráci se zástupcem dané příspěvkové organizace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doplní a </w:t>
            </w:r>
            <w:r w:rsidR="00494E79">
              <w:rPr>
                <w:rFonts w:ascii="Times New Roman" w:hAnsi="Times New Roman" w:cs="Times New Roman"/>
                <w:sz w:val="24"/>
                <w:szCs w:val="24"/>
              </w:rPr>
              <w:t xml:space="preserve">zaktualizuje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na pokyn projektového manažera „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tabulku </w:t>
            </w:r>
            <w:r w:rsidR="00B51E32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přehled majetku 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 projektu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03BF2">
              <w:rPr>
                <w:rFonts w:ascii="Times New Roman" w:hAnsi="Times New Roman" w:cs="Times New Roman"/>
                <w:sz w:val="24"/>
                <w:szCs w:val="24"/>
              </w:rPr>
              <w:t>, a to dle skutečných cen (tabulka dosud obsahovala předpokládané hodnoty nadefinované ve fázi 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92FEA" w:rsidRDefault="00792FEA" w:rsidP="005B1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případě, že dochází ke změnám v druhu majetku dle výše pořizovací hodnoty (investice/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je potřeba vypořádat tyto změny vůči poskytovateli dotace a změnit poměr investic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neinvestic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C27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 w:rsidR="00C27DA5">
              <w:rPr>
                <w:rFonts w:ascii="Times New Roman" w:hAnsi="Times New Roman" w:cs="Times New Roman"/>
                <w:sz w:val="24"/>
                <w:szCs w:val="24"/>
              </w:rPr>
              <w:t xml:space="preserve"> – toto na základě aktualizované tabulky zajistí finanční a projektový manažer odboru odpovědného za přípravu a řízení projektů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27DA5" w:rsidRPr="00C27DA5" w:rsidRDefault="00C27DA5" w:rsidP="005B1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finanční a projektový manažer odboru odpovědného za přípravu a řízení projektů do aktualizované tabulky doplní údaje o předpokládané výši dotace a následně zajistí distribuci aktualizované tabulky, a to zástupci odboru kanceláře ředitele, zástupci věcného odboru, příp. zástupci příspěvkové organizace</w:t>
            </w:r>
          </w:p>
          <w:p w:rsidR="00C27DA5" w:rsidRPr="00792FEA" w:rsidRDefault="00C27DA5" w:rsidP="00B5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 informuje ekonoma svého odboru</w:t>
            </w:r>
          </w:p>
        </w:tc>
      </w:tr>
      <w:tr w:rsidR="00792FEA" w:rsidTr="00F37E46">
        <w:tc>
          <w:tcPr>
            <w:tcW w:w="7638" w:type="dxa"/>
            <w:vMerge/>
          </w:tcPr>
          <w:p w:rsidR="00792FEA" w:rsidRDefault="00792FEA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792FEA" w:rsidRDefault="00792FEA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dochází k </w:t>
            </w:r>
            <w:r w:rsidRPr="005B13DA">
              <w:rPr>
                <w:rFonts w:ascii="Times New Roman" w:hAnsi="Times New Roman" w:cs="Times New Roman"/>
                <w:b/>
                <w:sz w:val="24"/>
                <w:szCs w:val="24"/>
              </w:rPr>
              <w:t>pořizování movitého a nemovitého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dle charakteru daného projektu, majetek vzniká zpravidla průběžně v delším časovém období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92FEA" w:rsidRPr="00792FEA" w:rsidRDefault="00792FEA" w:rsidP="00822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a finanční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manažer zařazený do odboru odpovědného za přípravu a realizaci projektu postupně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aktualizuje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tabulku </w:t>
            </w:r>
            <w:r w:rsidR="00B51E32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přehled majetku 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 projektu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výši transferu připadajícímu k jednotlivým položkám pořizovaného majetku a to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na základě daňových dokladů</w:t>
            </w:r>
          </w:p>
        </w:tc>
      </w:tr>
      <w:tr w:rsidR="00042DFF" w:rsidRPr="00F80D48" w:rsidTr="00F37E46">
        <w:tc>
          <w:tcPr>
            <w:tcW w:w="7638" w:type="dxa"/>
            <w:vMerge w:val="restart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je v této fázi důležité?</w:t>
            </w:r>
          </w:p>
        </w:tc>
        <w:tc>
          <w:tcPr>
            <w:tcW w:w="7638" w:type="dxa"/>
          </w:tcPr>
          <w:p w:rsidR="00042DFF" w:rsidRDefault="00B51E32" w:rsidP="00B5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042DFF">
              <w:rPr>
                <w:rFonts w:ascii="Times New Roman" w:hAnsi="Times New Roman" w:cs="Times New Roman"/>
                <w:sz w:val="24"/>
                <w:szCs w:val="24"/>
              </w:rPr>
              <w:t xml:space="preserve">udržení aktuálnosti přehledu pořizovaného majetku – na základě </w:t>
            </w:r>
            <w:proofErr w:type="spellStart"/>
            <w:r w:rsidR="00042DFF">
              <w:rPr>
                <w:rFonts w:ascii="Times New Roman" w:hAnsi="Times New Roman" w:cs="Times New Roman"/>
                <w:sz w:val="24"/>
                <w:szCs w:val="24"/>
              </w:rPr>
              <w:t>vysoutěžené</w:t>
            </w:r>
            <w:proofErr w:type="spellEnd"/>
            <w:r w:rsidR="00042DFF">
              <w:rPr>
                <w:rFonts w:ascii="Times New Roman" w:hAnsi="Times New Roman" w:cs="Times New Roman"/>
                <w:sz w:val="24"/>
                <w:szCs w:val="24"/>
              </w:rPr>
              <w:t xml:space="preserve"> výše položkových cen a případného nového zařazení majetku z hlediska pořizovací 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2DFF">
              <w:rPr>
                <w:rFonts w:ascii="Times New Roman" w:hAnsi="Times New Roman" w:cs="Times New Roman"/>
                <w:sz w:val="24"/>
                <w:szCs w:val="24"/>
              </w:rPr>
              <w:t xml:space="preserve">odpovídá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projektový </w:t>
            </w:r>
            <w:r w:rsidR="00042DFF">
              <w:rPr>
                <w:rFonts w:ascii="Times New Roman" w:hAnsi="Times New Roman" w:cs="Times New Roman"/>
                <w:sz w:val="24"/>
                <w:szCs w:val="24"/>
              </w:rPr>
              <w:t>manažer zařazený do odboru odpovědného za přípravu a řízení projektu</w:t>
            </w:r>
          </w:p>
        </w:tc>
      </w:tr>
      <w:tr w:rsidR="00042DFF" w:rsidRPr="00F80D48" w:rsidTr="00F37E46">
        <w:tc>
          <w:tcPr>
            <w:tcW w:w="7638" w:type="dxa"/>
            <w:vMerge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042DFF" w:rsidRPr="00F80D48" w:rsidRDefault="00042DFF" w:rsidP="00B51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manažer zařazený do odboru odpovědného za přípravu a realizaci projektu udržuje přehled výše transferu u jednotlivých dílčích vyfakturovaných položek majetku, k tomu využívá 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tabulku</w:t>
            </w:r>
            <w:r w:rsidR="00B51E32">
              <w:rPr>
                <w:rFonts w:ascii="Times New Roman" w:hAnsi="Times New Roman" w:cs="Times New Roman"/>
                <w:sz w:val="24"/>
                <w:szCs w:val="24"/>
              </w:rPr>
              <w:t xml:space="preserve"> – přehled majetku projektu“</w:t>
            </w:r>
          </w:p>
        </w:tc>
      </w:tr>
      <w:tr w:rsidR="00042DFF" w:rsidRPr="00F80D48" w:rsidTr="00F37E46">
        <w:tc>
          <w:tcPr>
            <w:tcW w:w="7638" w:type="dxa"/>
            <w:vMerge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042DFF" w:rsidRPr="00AF2EBB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87">
              <w:rPr>
                <w:rFonts w:ascii="Times New Roman" w:hAnsi="Times New Roman" w:cs="Times New Roman"/>
                <w:b/>
                <w:sz w:val="24"/>
                <w:szCs w:val="24"/>
              </w:rPr>
              <w:t>movitý majetek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zařazuje zástupce odboru kanceláře ředitele (majetková evidence) do užívání postupně, a to vždy na základě dohody s finančním manažerem odboru odpovědného za přípravu a realizaci projektu</w:t>
            </w:r>
            <w:r w:rsidR="00CC1F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FE4" w:rsidRPr="00AF2EBB">
              <w:rPr>
                <w:rFonts w:ascii="Times New Roman" w:hAnsi="Times New Roman" w:cs="Times New Roman"/>
                <w:sz w:val="24"/>
                <w:szCs w:val="24"/>
              </w:rPr>
              <w:t xml:space="preserve">použijí se přitom postupy dle Organizační směrnice ředitele KÚ LK </w:t>
            </w:r>
            <w:r w:rsidR="00AF2EBB" w:rsidRPr="00AF2EBB">
              <w:rPr>
                <w:rFonts w:ascii="Times New Roman" w:hAnsi="Times New Roman" w:cs="Times New Roman"/>
                <w:sz w:val="24"/>
                <w:szCs w:val="24"/>
              </w:rPr>
              <w:t xml:space="preserve">č. OS-03/19/10 </w:t>
            </w:r>
            <w:r w:rsidR="00CC1FE4" w:rsidRPr="00AF2EBB">
              <w:rPr>
                <w:rFonts w:ascii="Times New Roman" w:hAnsi="Times New Roman" w:cs="Times New Roman"/>
                <w:sz w:val="24"/>
                <w:szCs w:val="24"/>
              </w:rPr>
              <w:t>k dlouhodobému majetku LK a jeho evidenci</w:t>
            </w:r>
            <w:r w:rsidRPr="00AF2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42DFF" w:rsidRPr="00D62987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EBB">
              <w:rPr>
                <w:rFonts w:ascii="Times New Roman" w:hAnsi="Times New Roman" w:cs="Times New Roman"/>
                <w:sz w:val="24"/>
                <w:szCs w:val="24"/>
              </w:rPr>
              <w:t>využívat platební poukaz – část „jiné záznamy“ k 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rmování zástupce odboru kanceláře ředitele (majetková evidence) a ekonomického odboru o průběhu fakturace souborů věcí (v případě, že je fakturováno na více fakturách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 uvést do jiného záznamu informaci o dílčí fakturaci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DFF" w:rsidRPr="00F80D48" w:rsidTr="00F37E46">
        <w:tc>
          <w:tcPr>
            <w:tcW w:w="7638" w:type="dxa"/>
            <w:vMerge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042DFF" w:rsidRPr="00D62987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nemovitý majetek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zpravidla zařazen do užívání až po 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 xml:space="preserve">finančním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dokončení projektu</w:t>
            </w:r>
            <w:r w:rsidR="00970CAC">
              <w:rPr>
                <w:rFonts w:ascii="Times New Roman" w:hAnsi="Times New Roman" w:cs="Times New Roman"/>
                <w:sz w:val="24"/>
                <w:szCs w:val="24"/>
              </w:rPr>
              <w:t>, kdy je známa přesná výše dotace,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jednorázově</w:t>
            </w:r>
          </w:p>
        </w:tc>
      </w:tr>
      <w:tr w:rsidR="00042DFF" w:rsidRPr="00F80D48" w:rsidTr="00F37E46">
        <w:tc>
          <w:tcPr>
            <w:tcW w:w="7638" w:type="dxa"/>
            <w:vMerge w:val="restart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Časové hledisko</w:t>
            </w:r>
          </w:p>
        </w:tc>
        <w:tc>
          <w:tcPr>
            <w:tcW w:w="7638" w:type="dxa"/>
          </w:tcPr>
          <w:p w:rsidR="00042DFF" w:rsidRPr="00F80D48" w:rsidRDefault="00042DFF" w:rsidP="009C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aktualizaci </w:t>
            </w:r>
            <w:r w:rsidR="009C1C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C1C82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tabulky – přehled majetku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</w:t>
            </w:r>
            <w:r w:rsidR="009C1C82" w:rsidRPr="00AF2E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projektu</w:t>
            </w:r>
            <w:r w:rsidR="009C1C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provést do uzavření smlouvy s vybraným dodavatelem a ihned nahlásit poskytovateli dotace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případné změny oproti projektové žádosti</w:t>
            </w:r>
          </w:p>
        </w:tc>
      </w:tr>
      <w:tr w:rsidR="00042DFF" w:rsidRPr="00F80D48" w:rsidTr="00F37E46">
        <w:tc>
          <w:tcPr>
            <w:tcW w:w="7638" w:type="dxa"/>
            <w:vMerge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nabývání movitého a nemovitého majetku probíhá dle smluvních termínů a harmonogramů</w:t>
            </w:r>
          </w:p>
        </w:tc>
      </w:tr>
    </w:tbl>
    <w:p w:rsidR="00042DFF" w:rsidRDefault="00042DFF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DFF" w:rsidRDefault="00042DFF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DFF" w:rsidRPr="00042DFF" w:rsidRDefault="00042DFF" w:rsidP="00042D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PROJEKTU, ZÁVĚREČNÁ ŽÁDOST O PLATBU, SCHVÁLENÍ KONEČNÉ VÝŠE DOTACE POSKYTOVATELEM DOTACE, PŘIPSÁNÍ ZÁVĚREČNÉ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042DFF" w:rsidTr="00F37E46">
        <w:tc>
          <w:tcPr>
            <w:tcW w:w="7638" w:type="dxa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 této fázi projektového cyklu?</w:t>
            </w:r>
          </w:p>
        </w:tc>
        <w:tc>
          <w:tcPr>
            <w:tcW w:w="7638" w:type="dxa"/>
          </w:tcPr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 zařazený do odboru odpovědného za přípravu a řízení projektu</w:t>
            </w:r>
          </w:p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manažer zařazený do odboru odpovědného za přípravu a řízení projektu</w:t>
            </w:r>
          </w:p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odboru kanceláře ředitele (evidence majetku)</w:t>
            </w:r>
          </w:p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042DFF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dané příspěvkové organizace (neplatí, pokud se nejedná o projekt realizovaný v p. o. kraje)</w:t>
            </w:r>
          </w:p>
          <w:p w:rsidR="00042DFF" w:rsidRPr="00F80D48" w:rsidRDefault="00042DFF" w:rsidP="00042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OISNM (vždy v případě, že projekt obsahuje stavbu)</w:t>
            </w:r>
          </w:p>
        </w:tc>
      </w:tr>
      <w:tr w:rsidR="00CE35ED" w:rsidTr="00F37E46">
        <w:tc>
          <w:tcPr>
            <w:tcW w:w="7638" w:type="dxa"/>
            <w:vMerge w:val="restart"/>
          </w:tcPr>
          <w:p w:rsidR="00CE35ED" w:rsidRDefault="00CE35ED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CE35ED" w:rsidRPr="00F80D48" w:rsidRDefault="00CE35ED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doplacení a zaúčtování všech faktur souvisejících s pořízením majetku</w:t>
            </w:r>
          </w:p>
        </w:tc>
      </w:tr>
      <w:tr w:rsidR="00CE35ED" w:rsidTr="00F37E46">
        <w:tc>
          <w:tcPr>
            <w:tcW w:w="7638" w:type="dxa"/>
            <w:vMerge/>
          </w:tcPr>
          <w:p w:rsidR="00CE35ED" w:rsidRDefault="00CE35ED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CE35ED" w:rsidRDefault="00CE35ED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schválení závěrečné žádosti o platbu je známa definitivní výše transferu dotace vztahujícího se k pořízenému majetku</w:t>
            </w:r>
          </w:p>
        </w:tc>
      </w:tr>
      <w:tr w:rsidR="00CE35ED" w:rsidTr="00F37E46">
        <w:tc>
          <w:tcPr>
            <w:tcW w:w="7638" w:type="dxa"/>
            <w:vMerge/>
          </w:tcPr>
          <w:p w:rsidR="00CE35ED" w:rsidRDefault="00CE35ED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CE35ED" w:rsidRPr="00907CCA" w:rsidRDefault="00CE35ED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následně probíhá zařazení majetku do evidence (vypořádání účtu </w:t>
            </w:r>
            <w:r w:rsidR="00C741E6">
              <w:rPr>
                <w:rFonts w:ascii="Times New Roman" w:hAnsi="Times New Roman" w:cs="Times New Roman"/>
                <w:sz w:val="24"/>
                <w:szCs w:val="24"/>
              </w:rPr>
              <w:t xml:space="preserve">041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042 nedokončený majetek), toto zajišťuje odbor o</w:t>
            </w:r>
            <w:r w:rsidR="00924006">
              <w:rPr>
                <w:rFonts w:ascii="Times New Roman" w:hAnsi="Times New Roman" w:cs="Times New Roman"/>
                <w:sz w:val="24"/>
                <w:szCs w:val="24"/>
              </w:rPr>
              <w:t>dpovědný za přípravu a realizaci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ve spolupráci se zástupcem věcného odboru a se zástupcem odboru kanceláře ředitele (majetková evidence)</w:t>
            </w:r>
            <w:r w:rsidR="00145CE6">
              <w:rPr>
                <w:rFonts w:ascii="Times New Roman" w:hAnsi="Times New Roman" w:cs="Times New Roman"/>
                <w:sz w:val="24"/>
                <w:szCs w:val="24"/>
              </w:rPr>
              <w:t xml:space="preserve"> použitím postupů </w:t>
            </w:r>
            <w:r w:rsidR="00145CE6" w:rsidRPr="00AF2EBB">
              <w:rPr>
                <w:rFonts w:ascii="Times New Roman" w:hAnsi="Times New Roman" w:cs="Times New Roman"/>
                <w:sz w:val="24"/>
                <w:szCs w:val="24"/>
              </w:rPr>
              <w:t>dle Organizační směrnice ředitele KÚ LK k dlouhodobému majetku LK a jeho evidenci č. OS-03/19/10</w:t>
            </w:r>
          </w:p>
        </w:tc>
      </w:tr>
      <w:tr w:rsidR="00CE35ED" w:rsidTr="00F37E46">
        <w:tc>
          <w:tcPr>
            <w:tcW w:w="7638" w:type="dxa"/>
            <w:vMerge/>
          </w:tcPr>
          <w:p w:rsidR="00CE35ED" w:rsidRDefault="00CE35ED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CE35ED" w:rsidRDefault="00CE35ED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případě, že je majetek pořizován pro p. o. kraje, zajistí projektový manažer zařazený do odboru odpovědného za přípravu a realizaci projektu souhlas poskytovatele dotace se svěřením do užívání a správy pořízeného majetku dané p. o.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E35ED" w:rsidRDefault="00CE35ED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případě </w:t>
            </w:r>
            <w:r w:rsidRPr="00932E8A">
              <w:rPr>
                <w:rFonts w:ascii="Times New Roman" w:hAnsi="Times New Roman" w:cs="Times New Roman"/>
                <w:b/>
                <w:sz w:val="24"/>
                <w:szCs w:val="24"/>
              </w:rPr>
              <w:t>movitého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dává </w:t>
            </w:r>
            <w:r w:rsidR="00C741E6">
              <w:rPr>
                <w:rFonts w:ascii="Times New Roman" w:hAnsi="Times New Roman" w:cs="Times New Roman"/>
                <w:sz w:val="24"/>
                <w:szCs w:val="24"/>
              </w:rPr>
              <w:t xml:space="preserve">projektový manažer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dále pokyn zástupci odboru kanceláře ředitele (majetková evidence) a zástupci věcného odboru k zahájení převodu majetku na danou p. o., k čemuž jako podklad využívá data z vyplněné </w:t>
            </w:r>
            <w:r w:rsidR="009C1C82">
              <w:rPr>
                <w:rFonts w:ascii="Times New Roman" w:hAnsi="Times New Roman" w:cs="Times New Roman"/>
                <w:sz w:val="24"/>
                <w:szCs w:val="24"/>
              </w:rPr>
              <w:t>„tabulky – přehled majetku projektu“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E35ED" w:rsidRPr="00932E8A" w:rsidRDefault="00CE35ED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 případě </w:t>
            </w:r>
            <w:r w:rsidRPr="00CE35ED">
              <w:rPr>
                <w:rFonts w:ascii="Times New Roman" w:hAnsi="Times New Roman" w:cs="Times New Roman"/>
                <w:b/>
                <w:sz w:val="24"/>
                <w:szCs w:val="24"/>
              </w:rPr>
              <w:t>nemovitého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dává pokyn zástupci OISNM k převodu stavby (technického zhodnocení), k čemuž jako podklad využívá data z vyplněné </w:t>
            </w:r>
            <w:r w:rsidR="009C1C82">
              <w:rPr>
                <w:rFonts w:ascii="Times New Roman" w:hAnsi="Times New Roman" w:cs="Times New Roman"/>
                <w:sz w:val="24"/>
                <w:szCs w:val="24"/>
              </w:rPr>
              <w:t>„tabulky – přehled majetku projektu“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E35ED" w:rsidRDefault="00CE35ED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 zajistí přípravu předávacího protokolu pro předání majetku p. o., podklady si dožádá od projektového/finančního manažera zařazeného do odboru odpovědného za přípravu a realizaci projektu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E35ED" w:rsidRDefault="00924006" w:rsidP="00907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06">
              <w:rPr>
                <w:rFonts w:ascii="Times New Roman" w:hAnsi="Times New Roman" w:cs="Times New Roman"/>
                <w:sz w:val="24"/>
                <w:szCs w:val="24"/>
              </w:rPr>
              <w:t xml:space="preserve">příslušný </w:t>
            </w:r>
            <w:r w:rsidR="00CE35ED" w:rsidRPr="00924006">
              <w:rPr>
                <w:rFonts w:ascii="Times New Roman" w:hAnsi="Times New Roman" w:cs="Times New Roman"/>
                <w:sz w:val="24"/>
                <w:szCs w:val="24"/>
              </w:rPr>
              <w:t xml:space="preserve">předávací protokol, který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součástí Organizační směrnice č. OS-03/04/17 k dlouhodobému majetku Libereckého kraje a jeho evidenci</w:t>
            </w:r>
            <w:r w:rsidR="00CE35ED">
              <w:rPr>
                <w:rFonts w:ascii="Times New Roman" w:hAnsi="Times New Roman" w:cs="Times New Roman"/>
                <w:sz w:val="24"/>
                <w:szCs w:val="24"/>
              </w:rPr>
              <w:t xml:space="preserve"> musí projektový manažer zařazený do odboru odpovědného za přípravu a realizaci projektu doplnit o základní podmínky nakládání s majetkem v době udržitelnosti dle podmínek daného dotačního titulu</w:t>
            </w:r>
            <w:r w:rsidR="00CE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E35ED" w:rsidRPr="00932E8A" w:rsidRDefault="00CE35ED" w:rsidP="00AF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kompletaci a podepsání vyplněného </w:t>
            </w:r>
            <w:r w:rsidR="00924006">
              <w:rPr>
                <w:rFonts w:ascii="Times New Roman" w:hAnsi="Times New Roman" w:cs="Times New Roman"/>
                <w:sz w:val="24"/>
                <w:szCs w:val="24"/>
              </w:rPr>
              <w:t xml:space="preserve">příslušného </w:t>
            </w:r>
            <w:r w:rsidRPr="00924006">
              <w:rPr>
                <w:rFonts w:ascii="Times New Roman" w:hAnsi="Times New Roman" w:cs="Times New Roman"/>
                <w:sz w:val="24"/>
                <w:szCs w:val="24"/>
              </w:rPr>
              <w:t>předávacího protokolu</w:t>
            </w:r>
            <w:r w:rsidR="00924006" w:rsidRPr="00924006">
              <w:rPr>
                <w:rFonts w:ascii="Times New Roman" w:hAnsi="Times New Roman" w:cs="Times New Roman"/>
                <w:sz w:val="24"/>
                <w:szCs w:val="24"/>
              </w:rPr>
              <w:t xml:space="preserve"> dle Organizační směrnice č. OS-03/04/17 k dlouhodobému majetku Libereckého kraje a jeho evidenci</w:t>
            </w:r>
            <w:r w:rsidRPr="00924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zodpovídá zástupce věcného odboru</w:t>
            </w:r>
          </w:p>
        </w:tc>
      </w:tr>
      <w:tr w:rsidR="009C1C82" w:rsidRPr="00F80D48" w:rsidTr="00F37E46">
        <w:tc>
          <w:tcPr>
            <w:tcW w:w="7638" w:type="dxa"/>
            <w:vMerge w:val="restart"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 je v této fázi důležité?</w:t>
            </w:r>
          </w:p>
        </w:tc>
        <w:tc>
          <w:tcPr>
            <w:tcW w:w="7638" w:type="dxa"/>
          </w:tcPr>
          <w:p w:rsidR="009C1C82" w:rsidRPr="00F80D48" w:rsidRDefault="009C1C82" w:rsidP="009C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základě závěrečného vyúčtování dotace na projektu stanovit konečnou výši transferu (podílu z dotace) na jednotlivé položky pořizovaného majetku (k tomuto účelu slouží po celý projekt průběžně aktualizovaná „</w:t>
            </w:r>
            <w:r w:rsidRP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tabulka – přehled majetku</w:t>
            </w:r>
            <w:r w:rsid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z</w:t>
            </w:r>
            <w:r w:rsidRPr="008224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</w:tr>
      <w:tr w:rsidR="009C1C82" w:rsidRPr="00F80D48" w:rsidTr="00F37E46">
        <w:tc>
          <w:tcPr>
            <w:tcW w:w="7638" w:type="dxa"/>
            <w:vMerge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odsouhlasit si konečnou hodnotu majetku, který bude převáděn 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(nebo zařazován do majetku kraje) všemi zúčastněnými stranami (odbor odpovědný za přípravu a realizaci projektu, věcný odbor, OISNM (v případě staveb), odbor kancelář ředitele (majetková evidence)</w:t>
            </w:r>
          </w:p>
        </w:tc>
      </w:tr>
      <w:tr w:rsidR="009C1C82" w:rsidRPr="00F80D48" w:rsidTr="00F37E46">
        <w:tc>
          <w:tcPr>
            <w:tcW w:w="7638" w:type="dxa"/>
            <w:vMerge w:val="restart"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Časové hledisko</w:t>
            </w:r>
          </w:p>
        </w:tc>
        <w:tc>
          <w:tcPr>
            <w:tcW w:w="7638" w:type="dxa"/>
          </w:tcPr>
          <w:p w:rsidR="009C1C82" w:rsidRPr="00F80D48" w:rsidRDefault="009C1C82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nejpozději do 2 týdnů od schválení závěrečné žádosti o platbu zažádá projektový manažer zařazený do odboru odpovědného za přípravu a realizaci projektu poskytovatele dotace o schválení svěření pořízeného majetku do užívání a správy příslušné p. o. (neplatí, pokud projekt není realizován v p. o.)</w:t>
            </w:r>
          </w:p>
        </w:tc>
      </w:tr>
      <w:tr w:rsidR="009C1C82" w:rsidRPr="00F80D48" w:rsidTr="00F37E46">
        <w:tc>
          <w:tcPr>
            <w:tcW w:w="7638" w:type="dxa"/>
            <w:vMerge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9C1C82" w:rsidRDefault="009C1C82" w:rsidP="0092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ihned po obdržení souhlasu poskytovatele dotace se svěřením pořízeného majetku do užívání a správy příslušné p. o. dává projektový manažer zařazený do odboru odpovědného za přípravu a realizaci projektu pokyn k zahájení převodu majetku</w:t>
            </w:r>
            <w:r w:rsidR="00924006">
              <w:rPr>
                <w:rFonts w:ascii="Times New Roman" w:hAnsi="Times New Roman" w:cs="Times New Roman"/>
                <w:sz w:val="24"/>
                <w:szCs w:val="24"/>
              </w:rPr>
              <w:t xml:space="preserve"> (tento převod bude probíhat dle platných vnitřních předpisů KÚ LK</w:t>
            </w:r>
            <w:r w:rsidR="0014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1C82" w:rsidRPr="00F80D48" w:rsidTr="00F37E46">
        <w:tc>
          <w:tcPr>
            <w:tcW w:w="7638" w:type="dxa"/>
            <w:vMerge/>
          </w:tcPr>
          <w:p w:rsidR="009C1C82" w:rsidRDefault="009C1C82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9C1C82" w:rsidRDefault="009C1C82" w:rsidP="00145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zástupce věcného odboru </w:t>
            </w:r>
            <w:r w:rsidR="00145CE6">
              <w:rPr>
                <w:rFonts w:ascii="Times New Roman" w:hAnsi="Times New Roman" w:cs="Times New Roman"/>
                <w:sz w:val="24"/>
                <w:szCs w:val="24"/>
              </w:rPr>
              <w:t>navrhne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 kterému termínu bude majetek na danou p. o. převeden (z důvodu zahájení odpisování) a ostatní účastníci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procesu potvrdí, že do daného termínu připraví veškeré podklady (zástupce OISNM – souhrn stavebních nákladů, zástupce odboru kancelář ředitele (majetková evidence) – souhrn částek za pořízení movitého majetku), finanční/projektový manažer odboru zodpovědného za přípravu a realizaci projektu (výše transferů)</w:t>
            </w:r>
          </w:p>
        </w:tc>
      </w:tr>
    </w:tbl>
    <w:p w:rsidR="00042DFF" w:rsidRDefault="00042DFF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DFF" w:rsidRDefault="00042DFF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5791" w:rsidRDefault="00725791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DFF" w:rsidRPr="000D57CF" w:rsidRDefault="000D57CF" w:rsidP="000D57C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UDRŽITELNOST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38"/>
        <w:gridCol w:w="7638"/>
      </w:tblGrid>
      <w:tr w:rsidR="00042DFF" w:rsidTr="00F37E46">
        <w:tc>
          <w:tcPr>
            <w:tcW w:w="7638" w:type="dxa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Kdo se podílí na této fázi projektového cyklu?</w:t>
            </w:r>
          </w:p>
        </w:tc>
        <w:tc>
          <w:tcPr>
            <w:tcW w:w="7638" w:type="dxa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manažer zařazený do odboru odpovědného za přípravu a řízení projektu</w:t>
            </w:r>
          </w:p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manažer zařazený do odboru odpovědného za přípravu a řízení projektu</w:t>
            </w:r>
          </w:p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odboru kanceláře ředitele (evidence majetku)</w:t>
            </w:r>
          </w:p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věcného odboru</w:t>
            </w:r>
          </w:p>
          <w:p w:rsidR="00042DFF" w:rsidRPr="00F80D48" w:rsidRDefault="00042DFF" w:rsidP="0072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zástupce dané příspěvkové organizace (neplatí, pokud se nejedná o projekt realizovaný v p. o. kraje)</w:t>
            </w:r>
          </w:p>
        </w:tc>
      </w:tr>
      <w:tr w:rsidR="00725791" w:rsidTr="00F37E46">
        <w:tc>
          <w:tcPr>
            <w:tcW w:w="7638" w:type="dxa"/>
            <w:vMerge w:val="restart"/>
          </w:tcPr>
          <w:p w:rsidR="00725791" w:rsidRDefault="00725791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se děje z hlediska majetku?</w:t>
            </w:r>
          </w:p>
        </w:tc>
        <w:tc>
          <w:tcPr>
            <w:tcW w:w="7638" w:type="dxa"/>
          </w:tcPr>
          <w:p w:rsidR="00725791" w:rsidRPr="00F80D48" w:rsidRDefault="00725791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pravidelné vykazování hospodaření s majetkem pořízeným z projektu a to dle podmínek projektu a daného dotačního titulu</w:t>
            </w:r>
          </w:p>
        </w:tc>
      </w:tr>
      <w:tr w:rsidR="00725791" w:rsidRPr="00F80D48" w:rsidTr="00F37E46">
        <w:tc>
          <w:tcPr>
            <w:tcW w:w="7638" w:type="dxa"/>
            <w:vMerge/>
          </w:tcPr>
          <w:p w:rsidR="00725791" w:rsidRDefault="00725791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38" w:type="dxa"/>
          </w:tcPr>
          <w:p w:rsidR="00725791" w:rsidRPr="00F80D48" w:rsidRDefault="00725791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případě nenadálých skutečností dochází k obměně majetku tak, aby byl zachován původní účel projektu a podmínky poskytnutí dotace</w:t>
            </w:r>
          </w:p>
        </w:tc>
      </w:tr>
      <w:tr w:rsidR="00042DFF" w:rsidRPr="00F80D48" w:rsidTr="00F37E46">
        <w:tc>
          <w:tcPr>
            <w:tcW w:w="7638" w:type="dxa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 je v této fázi důležité?</w:t>
            </w:r>
          </w:p>
        </w:tc>
        <w:tc>
          <w:tcPr>
            <w:tcW w:w="7638" w:type="dxa"/>
          </w:tcPr>
          <w:p w:rsidR="00843146" w:rsidRDefault="00725791" w:rsidP="00843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případě, že majetek byl svěřen do užívání a správy p. o., zajišťuje vždy na pokyn projektového manažera zařazeného do odboru odpovědného za přípravu a řízení projektu </w:t>
            </w:r>
            <w:r w:rsidR="00843146">
              <w:rPr>
                <w:rFonts w:ascii="Times New Roman" w:hAnsi="Times New Roman" w:cs="Times New Roman"/>
                <w:sz w:val="24"/>
                <w:szCs w:val="24"/>
              </w:rPr>
              <w:t>zástupce p. o. výpis z evidence majetku z účetnictví dané p. o.</w:t>
            </w:r>
            <w:r w:rsidR="0084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82BE9" w:rsidRDefault="00843146" w:rsidP="00843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případě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jedná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majetek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který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v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KÚ LK,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zajišťuje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vždy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výpis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evidence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majetku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zástupce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věcného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odboru</w:t>
            </w:r>
            <w:proofErr w:type="spellEnd"/>
            <w:r w:rsidR="00E13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projektového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manažera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zařazeného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odboru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odpovědného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přípravu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řízení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  <w:r w:rsidR="00D82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82BE9" w:rsidRPr="00565D0F" w:rsidRDefault="00D82BE9" w:rsidP="00D8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za správu a zachování majetku pořízeného z projektu v souladu s podmínkami v této fázi zodpovídá </w:t>
            </w:r>
            <w:r w:rsidR="009C1C82">
              <w:rPr>
                <w:rFonts w:ascii="Times New Roman" w:hAnsi="Times New Roman" w:cs="Times New Roman"/>
                <w:sz w:val="24"/>
                <w:szCs w:val="24"/>
              </w:rPr>
              <w:t xml:space="preserve">věcně </w:t>
            </w:r>
            <w:r w:rsidRPr="00565D0F">
              <w:rPr>
                <w:rFonts w:ascii="Times New Roman" w:hAnsi="Times New Roman" w:cs="Times New Roman"/>
                <w:sz w:val="24"/>
                <w:szCs w:val="24"/>
              </w:rPr>
              <w:t>příslušný odbor</w:t>
            </w:r>
            <w:r w:rsidR="00843146"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příp. daná příspěvková organizace (dle příslušných směrnic / vnitřních předpisů) a projektového manažera </w:t>
            </w:r>
            <w:proofErr w:type="gramStart"/>
            <w:r w:rsidRPr="00565D0F">
              <w:rPr>
                <w:rFonts w:ascii="Times New Roman" w:hAnsi="Times New Roman" w:cs="Times New Roman"/>
                <w:sz w:val="24"/>
                <w:szCs w:val="24"/>
              </w:rPr>
              <w:t>informuje</w:t>
            </w:r>
            <w:proofErr w:type="gramEnd"/>
            <w:r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 o každé změně</w:t>
            </w:r>
            <w:r w:rsidR="00565D0F"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 příp. </w:t>
            </w:r>
            <w:proofErr w:type="gramStart"/>
            <w:r w:rsidR="00565D0F" w:rsidRPr="00565D0F">
              <w:rPr>
                <w:rFonts w:ascii="Times New Roman" w:hAnsi="Times New Roman" w:cs="Times New Roman"/>
                <w:sz w:val="24"/>
                <w:szCs w:val="24"/>
              </w:rPr>
              <w:t>konzultuje</w:t>
            </w:r>
            <w:proofErr w:type="gramEnd"/>
            <w:r w:rsidR="00565D0F"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 problémy po danou dobu</w:t>
            </w:r>
            <w:r w:rsidRPr="0056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DFF" w:rsidRPr="00F80D48" w:rsidTr="00F37E46">
        <w:tc>
          <w:tcPr>
            <w:tcW w:w="7638" w:type="dxa"/>
          </w:tcPr>
          <w:p w:rsidR="00042DFF" w:rsidRDefault="00042DFF" w:rsidP="00F37E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Časové hledisko</w:t>
            </w:r>
          </w:p>
        </w:tc>
        <w:tc>
          <w:tcPr>
            <w:tcW w:w="7638" w:type="dxa"/>
          </w:tcPr>
          <w:p w:rsidR="00042DFF" w:rsidRPr="00F80D48" w:rsidRDefault="00843146" w:rsidP="00F37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majet</w:t>
            </w:r>
            <w:r w:rsidR="00D82B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ové evidence je připravován vždy jednou ročně dle termínů předkládání monitorovacích zpráv o udržitelnosti daného projektu</w:t>
            </w:r>
          </w:p>
        </w:tc>
      </w:tr>
    </w:tbl>
    <w:p w:rsidR="00042DFF" w:rsidRDefault="00042DFF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411" w:rsidRDefault="00822411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411" w:rsidRDefault="00822411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411" w:rsidRDefault="00822411" w:rsidP="00A734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411" w:rsidRPr="00822411" w:rsidRDefault="00822411" w:rsidP="00A734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643669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: Tabulka – přehled majetku z projektu</w:t>
      </w:r>
    </w:p>
    <w:sectPr w:rsidR="00822411" w:rsidRPr="00822411" w:rsidSect="00F925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F1" w:rsidRDefault="004317F1" w:rsidP="00503CA6">
      <w:pPr>
        <w:spacing w:after="0" w:line="240" w:lineRule="auto"/>
      </w:pPr>
      <w:r>
        <w:separator/>
      </w:r>
    </w:p>
  </w:endnote>
  <w:endnote w:type="continuationSeparator" w:id="0">
    <w:p w:rsidR="004317F1" w:rsidRDefault="004317F1" w:rsidP="0050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F1" w:rsidRDefault="004317F1" w:rsidP="00503CA6">
      <w:pPr>
        <w:spacing w:after="0" w:line="240" w:lineRule="auto"/>
      </w:pPr>
      <w:r>
        <w:separator/>
      </w:r>
    </w:p>
  </w:footnote>
  <w:footnote w:type="continuationSeparator" w:id="0">
    <w:p w:rsidR="004317F1" w:rsidRDefault="004317F1" w:rsidP="0050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A6" w:rsidRDefault="00503CA6">
    <w:pPr>
      <w:pStyle w:val="Zhlav"/>
    </w:pPr>
  </w:p>
  <w:p w:rsidR="00503CA6" w:rsidRPr="00503CA6" w:rsidRDefault="00503CA6" w:rsidP="00503CA6">
    <w:pPr>
      <w:spacing w:after="0"/>
      <w:rPr>
        <w:rFonts w:ascii="Times New Roman" w:hAnsi="Times New Roman" w:cs="Times New Roman"/>
        <w:sz w:val="24"/>
        <w:szCs w:val="24"/>
      </w:rPr>
    </w:pPr>
    <w:r w:rsidRPr="00503CA6">
      <w:rPr>
        <w:rFonts w:ascii="Times New Roman" w:hAnsi="Times New Roman" w:cs="Times New Roman"/>
        <w:sz w:val="24"/>
        <w:szCs w:val="24"/>
      </w:rPr>
      <w:t>Příloha č. 5 Směrnice RK 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BF0"/>
    <w:multiLevelType w:val="hybridMultilevel"/>
    <w:tmpl w:val="C58030D4"/>
    <w:lvl w:ilvl="0" w:tplc="621EB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4380"/>
    <w:multiLevelType w:val="hybridMultilevel"/>
    <w:tmpl w:val="C58030D4"/>
    <w:lvl w:ilvl="0" w:tplc="621EB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AF0"/>
    <w:multiLevelType w:val="hybridMultilevel"/>
    <w:tmpl w:val="C58030D4"/>
    <w:lvl w:ilvl="0" w:tplc="621EB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EB"/>
    <w:rsid w:val="00003BF2"/>
    <w:rsid w:val="00025DEB"/>
    <w:rsid w:val="00042DFF"/>
    <w:rsid w:val="000D57CF"/>
    <w:rsid w:val="00136AAE"/>
    <w:rsid w:val="00145CE6"/>
    <w:rsid w:val="00160728"/>
    <w:rsid w:val="001E2585"/>
    <w:rsid w:val="001E5FBC"/>
    <w:rsid w:val="001F5D83"/>
    <w:rsid w:val="002E7E68"/>
    <w:rsid w:val="00323E08"/>
    <w:rsid w:val="00345484"/>
    <w:rsid w:val="004317F1"/>
    <w:rsid w:val="00494E79"/>
    <w:rsid w:val="004F6A2C"/>
    <w:rsid w:val="00503CA6"/>
    <w:rsid w:val="00565D0F"/>
    <w:rsid w:val="005B13DA"/>
    <w:rsid w:val="00602269"/>
    <w:rsid w:val="00643669"/>
    <w:rsid w:val="00675AC0"/>
    <w:rsid w:val="006928A7"/>
    <w:rsid w:val="006A248E"/>
    <w:rsid w:val="00725791"/>
    <w:rsid w:val="00792FEA"/>
    <w:rsid w:val="007D77A2"/>
    <w:rsid w:val="00822411"/>
    <w:rsid w:val="00843146"/>
    <w:rsid w:val="0085295E"/>
    <w:rsid w:val="008B4F61"/>
    <w:rsid w:val="00907CCA"/>
    <w:rsid w:val="00924006"/>
    <w:rsid w:val="00924334"/>
    <w:rsid w:val="00932E8A"/>
    <w:rsid w:val="00970CAC"/>
    <w:rsid w:val="009C1C82"/>
    <w:rsid w:val="009F768A"/>
    <w:rsid w:val="00A12B98"/>
    <w:rsid w:val="00A27295"/>
    <w:rsid w:val="00A73493"/>
    <w:rsid w:val="00AE4BD3"/>
    <w:rsid w:val="00AF2EBB"/>
    <w:rsid w:val="00B51E32"/>
    <w:rsid w:val="00B56BC8"/>
    <w:rsid w:val="00B637BF"/>
    <w:rsid w:val="00C27DA5"/>
    <w:rsid w:val="00C741E6"/>
    <w:rsid w:val="00CC1FE4"/>
    <w:rsid w:val="00CC27F4"/>
    <w:rsid w:val="00CE35ED"/>
    <w:rsid w:val="00D02571"/>
    <w:rsid w:val="00D30E0D"/>
    <w:rsid w:val="00D62987"/>
    <w:rsid w:val="00D6508A"/>
    <w:rsid w:val="00D82BE9"/>
    <w:rsid w:val="00E13F77"/>
    <w:rsid w:val="00E21551"/>
    <w:rsid w:val="00EB7E4C"/>
    <w:rsid w:val="00F67552"/>
    <w:rsid w:val="00F80D48"/>
    <w:rsid w:val="00F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21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5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5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13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CA6"/>
  </w:style>
  <w:style w:type="paragraph" w:styleId="Zpat">
    <w:name w:val="footer"/>
    <w:basedOn w:val="Normln"/>
    <w:link w:val="ZpatChar"/>
    <w:uiPriority w:val="99"/>
    <w:unhideWhenUsed/>
    <w:rsid w:val="005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215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5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5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5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5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13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CA6"/>
  </w:style>
  <w:style w:type="paragraph" w:styleId="Zpat">
    <w:name w:val="footer"/>
    <w:basedOn w:val="Normln"/>
    <w:link w:val="ZpatChar"/>
    <w:uiPriority w:val="99"/>
    <w:unhideWhenUsed/>
    <w:rsid w:val="005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A134647CF374ABE60DA4A7E019C54" ma:contentTypeVersion="22" ma:contentTypeDescription="Vytvoří nový dokument" ma:contentTypeScope="" ma:versionID="52402cf861cad618bc4a708240b26f90">
  <xsd:schema xmlns:xsd="http://www.w3.org/2001/XMLSchema" xmlns:xs="http://www.w3.org/2001/XMLSchema" xmlns:p="http://schemas.microsoft.com/office/2006/metadata/properties" xmlns:ns1="http://schemas.microsoft.com/sharepoint/v3" xmlns:ns2="1ac0cf2b-752b-4e1f-827d-b5a34f1c7e8a" xmlns:ns3="5e9802ba-6018-466f-84c7-2beaff49fe7e" xmlns:ns4="http://schemas.microsoft.com/sharepoint.v3" targetNamespace="http://schemas.microsoft.com/office/2006/metadata/properties" ma:root="true" ma:fieldsID="a82fd8177fb835ffd3a9b258ac6ebc40" ns1:_="" ns2:_="" ns3:_="" ns4:_="">
    <xsd:import namespace="http://schemas.microsoft.com/sharepoint/v3"/>
    <xsd:import namespace="1ac0cf2b-752b-4e1f-827d-b5a34f1c7e8a"/>
    <xsd:import namespace="5e9802ba-6018-466f-84c7-2beaff49fe7e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1:DocumentSetDescription" minOccurs="0"/>
                <xsd:element ref="ns2:PlatnostDo" minOccurs="0"/>
                <xsd:element ref="ns2:UcinnostOd" minOccurs="0"/>
                <xsd:element ref="ns2:CisloDokumentu" minOccurs="0"/>
                <xsd:element ref="ns3:StavPlatnosti" minOccurs="0"/>
                <xsd:element ref="ns3:Zpracovatel" minOccurs="0"/>
                <xsd:element ref="ns4:Popis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" nillable="true" ma:displayName="Poznámka" ma:description="Popis sady dokumentů" ma:internalName="DocumentSetDescription">
      <xsd:simpleType>
        <xsd:restriction base="dms:Note"/>
      </xsd:simpleType>
    </xsd:element>
    <xsd:element name="RoutingRuleDescription" ma:index="16" nillable="true" ma:displayName="Popis" ma:hidden="true" ma:internalName="Popis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cf2b-752b-4e1f-827d-b5a34f1c7e8a" elementFormDefault="qualified">
    <xsd:import namespace="http://schemas.microsoft.com/office/2006/documentManagement/types"/>
    <xsd:import namespace="http://schemas.microsoft.com/office/infopath/2007/PartnerControls"/>
    <xsd:element name="TypDokumentu" ma:index="1" ma:displayName="Typ Dokumentu" ma:default="Organizační směrnice" ma:format="Dropdown" ma:internalName="TypDokumentu" ma:readOnly="false">
      <xsd:simpleType>
        <xsd:restriction base="dms:Choice">
          <xsd:enumeration value="Předpis vydaný na základě zákonů"/>
          <xsd:enumeration value="Organizační směrnice"/>
          <xsd:enumeration value="Příkaz ředitele"/>
          <xsd:enumeration value="Pracovní instrukce"/>
          <xsd:enumeration value="Pokyny ředitele"/>
          <xsd:enumeration value="Pracovní instrukce"/>
          <xsd:enumeration value="Směrnice RK"/>
          <xsd:enumeration value="Směrnice ZK"/>
        </xsd:restriction>
      </xsd:simpleType>
    </xsd:element>
    <xsd:element name="PlatnostDo" ma:index="3" nillable="true" ma:displayName="Platnost do" ma:format="DateOnly" ma:internalName="PlatnostDo" ma:readOnly="false">
      <xsd:simpleType>
        <xsd:restriction base="dms:DateTime"/>
      </xsd:simpleType>
    </xsd:element>
    <xsd:element name="UcinnostOd" ma:index="4" nillable="true" ma:displayName="Účinnost od" ma:format="DateOnly" ma:internalName="UcinnostOd" ma:readOnly="false">
      <xsd:simpleType>
        <xsd:restriction base="dms:DateTime"/>
      </xsd:simpleType>
    </xsd:element>
    <xsd:element name="CisloDokumentu" ma:index="5" nillable="true" ma:displayName="Číslo dokumentu" ma:internalName="CisloDokumentu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02ba-6018-466f-84c7-2beaff49fe7e" elementFormDefault="qualified">
    <xsd:import namespace="http://schemas.microsoft.com/office/2006/documentManagement/types"/>
    <xsd:import namespace="http://schemas.microsoft.com/office/infopath/2007/PartnerControls"/>
    <xsd:element name="StavPlatnosti" ma:index="6" nillable="true" ma:displayName="Stav platnosti" ma:default="ANO" ma:format="RadioButtons" ma:internalName="StavPlatnosti">
      <xsd:simpleType>
        <xsd:restriction base="dms:Choice">
          <xsd:enumeration value="ANO"/>
          <xsd:enumeration value="NE"/>
        </xsd:restriction>
      </xsd:simpleType>
    </xsd:element>
    <xsd:element name="Zpracovatel" ma:index="7" nillable="true" ma:displayName="Zpracovatel" ma:list="{8a15c8d1-0c29-4ca6-9917-3548ed458972}" ma:internalName="Zpraco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Popis" ma:index="14" nillable="true" ma:displayName="Popis" ma:hidden="true" ma:internalName="Popi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http://schemas.microsoft.com/sharepoint.v3" xsi:nil="true"/>
    <DocumentSetDescription xmlns="http://schemas.microsoft.com/sharepoint/v3">schválena usn. č. 13/18/RK dne 9.1.2018, ruší směrnici 2/2008</DocumentSetDescription>
    <UcinnostOd xmlns="1ac0cf2b-752b-4e1f-827d-b5a34f1c7e8a">2018-01-31T23:00:00+00:00</UcinnostOd>
    <RoutingRuleDescription xmlns="http://schemas.microsoft.com/sharepoint/v3" xsi:nil="true"/>
    <Zpracovatel xmlns="5e9802ba-6018-466f-84c7-2beaff49fe7e" xsi:nil="true"/>
    <TypDokumentu xmlns="1ac0cf2b-752b-4e1f-827d-b5a34f1c7e8a">Směrnice RK</TypDokumentu>
    <StavPlatnosti xmlns="5e9802ba-6018-466f-84c7-2beaff49fe7e">ANO</StavPlatnosti>
    <PlatnostDo xmlns="1ac0cf2b-752b-4e1f-827d-b5a34f1c7e8a" xsi:nil="true"/>
    <CisloDokumentu xmlns="1ac0cf2b-752b-4e1f-827d-b5a34f1c7e8a">směrnice RK 2/2018</CisloDokumentu>
  </documentManagement>
</p:properties>
</file>

<file path=customXml/itemProps1.xml><?xml version="1.0" encoding="utf-8"?>
<ds:datastoreItem xmlns:ds="http://schemas.openxmlformats.org/officeDocument/2006/customXml" ds:itemID="{025AE5A4-A4B5-47E5-B425-C08492DDCBEB}"/>
</file>

<file path=customXml/itemProps2.xml><?xml version="1.0" encoding="utf-8"?>
<ds:datastoreItem xmlns:ds="http://schemas.openxmlformats.org/officeDocument/2006/customXml" ds:itemID="{39F677D9-C429-4A1C-8ED0-90EB549DCFC5}"/>
</file>

<file path=customXml/itemProps3.xml><?xml version="1.0" encoding="utf-8"?>
<ds:datastoreItem xmlns:ds="http://schemas.openxmlformats.org/officeDocument/2006/customXml" ds:itemID="{6C53D409-607C-4866-80F1-78560FD96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2195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Křepel Jaroslav</dc:creator>
  <cp:lastModifiedBy>Křepel Jaroslav</cp:lastModifiedBy>
  <cp:revision>20</cp:revision>
  <dcterms:created xsi:type="dcterms:W3CDTF">2017-04-24T14:16:00Z</dcterms:created>
  <dcterms:modified xsi:type="dcterms:W3CDTF">2018-01-11T12:46:00Z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0x010100C83A134647CF374ABE60DA4A7E019C54</vt:lpwstr>
  </property>
  <property fmtid="{D5CDD505-2E9C-101B-9397-08002B2CF9AE}" pid="3" name="_docset_NoMedatataSyncRequired">
    <vt:lpwstr>False</vt:lpwstr>
  </property>
</Properties>
</file>